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5185"/>
      </w:tblGrid>
      <w:tr w:rsidR="003E6360" w:rsidRPr="002D6EC9" w14:paraId="47354493" w14:textId="77777777" w:rsidTr="00E62ED3">
        <w:tc>
          <w:tcPr>
            <w:tcW w:w="10320" w:type="dxa"/>
            <w:gridSpan w:val="2"/>
            <w:tcBorders>
              <w:top w:val="thickThinSmallGap" w:sz="24" w:space="0" w:color="auto"/>
              <w:left w:val="thickThinSmallGap" w:sz="24" w:space="0" w:color="auto"/>
              <w:right w:val="thickThinSmallGap" w:sz="24" w:space="0" w:color="auto"/>
            </w:tcBorders>
            <w:shd w:val="clear" w:color="auto" w:fill="auto"/>
            <w:vAlign w:val="center"/>
          </w:tcPr>
          <w:p w14:paraId="292E20C9" w14:textId="77777777" w:rsidR="003E6360" w:rsidRPr="002D6EC9" w:rsidRDefault="003E6360" w:rsidP="00E62ED3">
            <w:pPr>
              <w:jc w:val="center"/>
            </w:pPr>
          </w:p>
          <w:p w14:paraId="69AC926A" w14:textId="77777777" w:rsidR="003E6360" w:rsidRPr="002E7BAF" w:rsidRDefault="003E6360" w:rsidP="00E62ED3">
            <w:pPr>
              <w:jc w:val="center"/>
              <w:rPr>
                <w:b/>
              </w:rPr>
            </w:pPr>
            <w:r w:rsidRPr="002E7BAF">
              <w:rPr>
                <w:b/>
              </w:rPr>
              <w:t>OBRAZAC</w:t>
            </w:r>
          </w:p>
          <w:p w14:paraId="1C79CCB8" w14:textId="77777777" w:rsidR="003E6360" w:rsidRDefault="003E6360" w:rsidP="00E62ED3">
            <w:pPr>
              <w:jc w:val="center"/>
              <w:rPr>
                <w:b/>
              </w:rPr>
            </w:pPr>
            <w:r w:rsidRPr="00191F94">
              <w:rPr>
                <w:b/>
              </w:rPr>
              <w:t xml:space="preserve">sudjelovanja javnosti </w:t>
            </w:r>
            <w:r>
              <w:rPr>
                <w:b/>
              </w:rPr>
              <w:t xml:space="preserve">u internetskom savjetovanju o nacrtu prijedloga odluke </w:t>
            </w:r>
          </w:p>
          <w:p w14:paraId="07AF6B04" w14:textId="77777777" w:rsidR="003E6360" w:rsidRPr="00191F94" w:rsidRDefault="003E6360" w:rsidP="00E62ED3">
            <w:pPr>
              <w:jc w:val="center"/>
              <w:rPr>
                <w:b/>
              </w:rPr>
            </w:pPr>
            <w:r>
              <w:rPr>
                <w:b/>
              </w:rPr>
              <w:t xml:space="preserve">ili drugog općeg akta </w:t>
            </w:r>
          </w:p>
          <w:p w14:paraId="6FA92675" w14:textId="77777777" w:rsidR="003E6360" w:rsidRPr="002D6EC9" w:rsidRDefault="003E6360" w:rsidP="00E62ED3">
            <w:pPr>
              <w:jc w:val="center"/>
            </w:pPr>
          </w:p>
        </w:tc>
      </w:tr>
      <w:tr w:rsidR="003E6360" w:rsidRPr="002D6EC9" w14:paraId="2946EDF5" w14:textId="77777777" w:rsidTr="00E62ED3">
        <w:trPr>
          <w:trHeight w:val="481"/>
        </w:trPr>
        <w:tc>
          <w:tcPr>
            <w:tcW w:w="5135" w:type="dxa"/>
            <w:tcBorders>
              <w:left w:val="thickThinSmallGap" w:sz="24" w:space="0" w:color="auto"/>
            </w:tcBorders>
            <w:shd w:val="clear" w:color="auto" w:fill="auto"/>
            <w:vAlign w:val="center"/>
          </w:tcPr>
          <w:p w14:paraId="61948ECC" w14:textId="77777777" w:rsidR="003E6360" w:rsidRPr="00407EE1" w:rsidRDefault="003E6360" w:rsidP="00E62ED3">
            <w:pPr>
              <w:rPr>
                <w:b/>
              </w:rPr>
            </w:pPr>
            <w:r w:rsidRPr="00407EE1">
              <w:rPr>
                <w:b/>
              </w:rPr>
              <w:t xml:space="preserve">Naziv </w:t>
            </w:r>
            <w:r>
              <w:rPr>
                <w:b/>
              </w:rPr>
              <w:t xml:space="preserve">nacrta odluke ili drugog općeg </w:t>
            </w:r>
            <w:r w:rsidRPr="00407EE1">
              <w:rPr>
                <w:b/>
              </w:rPr>
              <w:t>akta o kojem se provodi savjetovanje</w:t>
            </w:r>
          </w:p>
        </w:tc>
        <w:tc>
          <w:tcPr>
            <w:tcW w:w="5185" w:type="dxa"/>
            <w:tcBorders>
              <w:right w:val="thickThinSmallGap" w:sz="24" w:space="0" w:color="auto"/>
            </w:tcBorders>
            <w:shd w:val="clear" w:color="auto" w:fill="auto"/>
            <w:vAlign w:val="center"/>
          </w:tcPr>
          <w:p w14:paraId="1B370852" w14:textId="7E7F062B" w:rsidR="003E6360" w:rsidRPr="00866BB1" w:rsidRDefault="0004175E" w:rsidP="002D12B3">
            <w:r w:rsidRPr="0004175E">
              <w:t>Nacrt prijedloga Odluke</w:t>
            </w:r>
            <w:r>
              <w:t xml:space="preserve"> </w:t>
            </w:r>
            <w:r w:rsidR="00905111">
              <w:t>o izmjenama i dopun</w:t>
            </w:r>
            <w:r w:rsidR="0030398E">
              <w:t>ama</w:t>
            </w:r>
            <w:r w:rsidR="002D12B3">
              <w:t xml:space="preserve"> Odluke o načinu pružanja javne usluge sakupljanja komunalnog otpada na području Grada Zagreba</w:t>
            </w:r>
          </w:p>
        </w:tc>
      </w:tr>
      <w:tr w:rsidR="003E6360" w:rsidRPr="002D6EC9" w14:paraId="2D4D2D73" w14:textId="77777777" w:rsidTr="00E62ED3">
        <w:trPr>
          <w:trHeight w:val="410"/>
        </w:trPr>
        <w:tc>
          <w:tcPr>
            <w:tcW w:w="5135" w:type="dxa"/>
            <w:tcBorders>
              <w:left w:val="thickThinSmallGap" w:sz="24" w:space="0" w:color="auto"/>
            </w:tcBorders>
            <w:shd w:val="clear" w:color="auto" w:fill="auto"/>
            <w:vAlign w:val="center"/>
          </w:tcPr>
          <w:p w14:paraId="2123A460" w14:textId="77777777" w:rsidR="003E6360" w:rsidRPr="00407EE1" w:rsidRDefault="003E6360" w:rsidP="00E62ED3">
            <w:pPr>
              <w:rPr>
                <w:b/>
              </w:rPr>
            </w:pPr>
            <w:r w:rsidRPr="00407EE1">
              <w:rPr>
                <w:b/>
              </w:rPr>
              <w:t>Naziv gradskog upravnog tijela nadležnog za izradu nacrta</w:t>
            </w:r>
            <w:r>
              <w:rPr>
                <w:b/>
              </w:rPr>
              <w:t xml:space="preserve"> </w:t>
            </w:r>
          </w:p>
        </w:tc>
        <w:tc>
          <w:tcPr>
            <w:tcW w:w="5185" w:type="dxa"/>
            <w:tcBorders>
              <w:right w:val="thickThinSmallGap" w:sz="24" w:space="0" w:color="auto"/>
            </w:tcBorders>
            <w:shd w:val="clear" w:color="auto" w:fill="auto"/>
            <w:vAlign w:val="center"/>
          </w:tcPr>
          <w:p w14:paraId="6F65BE94" w14:textId="77777777" w:rsidR="003E6360" w:rsidRPr="00D30CA2" w:rsidRDefault="003E6360" w:rsidP="00937395">
            <w:pPr>
              <w:jc w:val="center"/>
              <w:rPr>
                <w:b/>
              </w:rPr>
            </w:pPr>
            <w:r>
              <w:rPr>
                <w:b/>
              </w:rPr>
              <w:t xml:space="preserve">Gradski ured za </w:t>
            </w:r>
            <w:r w:rsidR="008D56D2">
              <w:rPr>
                <w:b/>
              </w:rPr>
              <w:t xml:space="preserve">gospodarstvo, </w:t>
            </w:r>
            <w:r w:rsidR="00937395">
              <w:rPr>
                <w:b/>
              </w:rPr>
              <w:t>ekološku održivost</w:t>
            </w:r>
            <w:r w:rsidR="0004175E">
              <w:rPr>
                <w:b/>
              </w:rPr>
              <w:t xml:space="preserve"> </w:t>
            </w:r>
            <w:r w:rsidR="008D56D2">
              <w:rPr>
                <w:b/>
              </w:rPr>
              <w:t xml:space="preserve">i </w:t>
            </w:r>
            <w:r w:rsidR="00937395">
              <w:rPr>
                <w:b/>
              </w:rPr>
              <w:t>strategijsko planiranje</w:t>
            </w:r>
            <w:r w:rsidR="008D56D2">
              <w:rPr>
                <w:b/>
              </w:rPr>
              <w:t xml:space="preserve"> </w:t>
            </w:r>
          </w:p>
        </w:tc>
      </w:tr>
      <w:tr w:rsidR="003E6360" w:rsidRPr="002D6EC9" w14:paraId="15FB3471" w14:textId="77777777" w:rsidTr="001307BA">
        <w:trPr>
          <w:trHeight w:val="5660"/>
        </w:trPr>
        <w:tc>
          <w:tcPr>
            <w:tcW w:w="5135" w:type="dxa"/>
            <w:tcBorders>
              <w:left w:val="thickThinSmallGap" w:sz="24" w:space="0" w:color="auto"/>
            </w:tcBorders>
            <w:shd w:val="clear" w:color="auto" w:fill="auto"/>
            <w:vAlign w:val="center"/>
          </w:tcPr>
          <w:p w14:paraId="04D56E05" w14:textId="77777777" w:rsidR="003E6360" w:rsidRPr="00D22C35" w:rsidRDefault="003E6360" w:rsidP="00E62ED3">
            <w:pPr>
              <w:rPr>
                <w:b/>
              </w:rPr>
            </w:pPr>
            <w:r w:rsidRPr="007729B4">
              <w:rPr>
                <w:b/>
              </w:rPr>
              <w:t>Obrazloženje razloga i ciljeva koji se žele postići donošenjem akta</w:t>
            </w:r>
            <w:r w:rsidRPr="00D22C35">
              <w:rPr>
                <w:b/>
              </w:rPr>
              <w:t xml:space="preserve"> </w:t>
            </w:r>
          </w:p>
        </w:tc>
        <w:tc>
          <w:tcPr>
            <w:tcW w:w="5185" w:type="dxa"/>
            <w:tcBorders>
              <w:right w:val="thickThinSmallGap" w:sz="24" w:space="0" w:color="auto"/>
            </w:tcBorders>
            <w:shd w:val="clear" w:color="auto" w:fill="auto"/>
            <w:vAlign w:val="center"/>
          </w:tcPr>
          <w:p w14:paraId="0AEA761C" w14:textId="59127F06" w:rsidR="002D12B3" w:rsidRPr="002D12B3" w:rsidRDefault="002D12B3" w:rsidP="002D12B3">
            <w:pPr>
              <w:jc w:val="both"/>
              <w:rPr>
                <w:rFonts w:eastAsia="Calibri"/>
                <w:lang w:eastAsia="en-US"/>
              </w:rPr>
            </w:pPr>
            <w:r w:rsidRPr="002D12B3">
              <w:rPr>
                <w:rFonts w:eastAsia="Calibri"/>
                <w:lang w:eastAsia="en-US"/>
              </w:rPr>
              <w:t>Odluku o načinu pružanja javne usluge sakupljanja komunalnog otpada na području Grada Zagreba  donosi Gradska skupština Grada Zagreba na temelju  članka 66. stavka 1.</w:t>
            </w:r>
            <w:r w:rsidR="00905111">
              <w:rPr>
                <w:rFonts w:eastAsia="Calibri"/>
                <w:lang w:eastAsia="en-US"/>
              </w:rPr>
              <w:t xml:space="preserve"> i članka</w:t>
            </w:r>
            <w:r w:rsidR="00905111" w:rsidRPr="00905111">
              <w:rPr>
                <w:rFonts w:eastAsia="Calibri"/>
                <w:lang w:eastAsia="en-US"/>
              </w:rPr>
              <w:t xml:space="preserve">  68. stavka 2</w:t>
            </w:r>
            <w:r w:rsidR="00905111">
              <w:rPr>
                <w:rFonts w:eastAsia="Calibri"/>
                <w:lang w:eastAsia="en-US"/>
              </w:rPr>
              <w:t xml:space="preserve"> </w:t>
            </w:r>
            <w:r w:rsidRPr="002D12B3">
              <w:rPr>
                <w:rFonts w:eastAsia="Calibri"/>
                <w:lang w:eastAsia="en-US"/>
              </w:rPr>
              <w:t xml:space="preserve"> Zakona o gospodarenju otpadom (Narodne novine 84/21</w:t>
            </w:r>
            <w:r w:rsidR="0030398E">
              <w:rPr>
                <w:rFonts w:eastAsia="Calibri"/>
                <w:lang w:eastAsia="en-US"/>
              </w:rPr>
              <w:t xml:space="preserve"> i 142/23</w:t>
            </w:r>
            <w:r w:rsidRPr="002D12B3">
              <w:rPr>
                <w:rFonts w:eastAsia="Calibri"/>
                <w:lang w:eastAsia="en-US"/>
              </w:rPr>
              <w:t>; dalje u tekstu: Zakon ) i članka 41. točke 2. Statuta Grada Zagreba (Službeni glasnik Grada Zagreba 23/16, 2/18, 23/18, 3/20, 3/21 i 11/21 - pročišćeni tekst; 16/22, dalje u tekstu: Statut), kojim je odredbama uređeno da Gradska skupština Grada Zagreba donosi odluku o načinu pružanja javne usluge te se ovlašćuje Gradska skupština Grada Zagreba donositi odluke i druge opće akte kojima uređuje pitanja iz samoupravnog djelokruga Grada Zagreba.</w:t>
            </w:r>
          </w:p>
          <w:p w14:paraId="539BA2F5" w14:textId="252D4CF0" w:rsidR="0030398E" w:rsidRPr="0030398E" w:rsidRDefault="00A5026B" w:rsidP="0030398E">
            <w:pPr>
              <w:autoSpaceDE w:val="0"/>
              <w:autoSpaceDN w:val="0"/>
              <w:adjustRightInd w:val="0"/>
              <w:jc w:val="both"/>
            </w:pPr>
            <w:r>
              <w:t>Predloženom O</w:t>
            </w:r>
            <w:r w:rsidR="0004175E" w:rsidRPr="00983821">
              <w:t>dlukom</w:t>
            </w:r>
            <w:r w:rsidR="0030398E">
              <w:t xml:space="preserve">, </w:t>
            </w:r>
            <w:r w:rsidR="0030398E" w:rsidRPr="0030398E">
              <w:t xml:space="preserve">članak 2. je dopunjen s definicijama podzemnih i </w:t>
            </w:r>
            <w:proofErr w:type="spellStart"/>
            <w:r w:rsidR="0030398E" w:rsidRPr="0030398E">
              <w:t>polupodzemnih</w:t>
            </w:r>
            <w:proofErr w:type="spellEnd"/>
            <w:r w:rsidR="0030398E" w:rsidRPr="0030398E">
              <w:t xml:space="preserve"> s obzirom da su </w:t>
            </w:r>
            <w:r w:rsidR="00F54B35">
              <w:t xml:space="preserve">isti </w:t>
            </w:r>
            <w:r w:rsidR="0030398E" w:rsidRPr="0030398E">
              <w:t>već na niz lokacija u Gradu Zagrebu ugrađeni. Članak 7. stavke 2. i 5. je bilo potrebno izmijeniti na način da su u istima sada naveden</w:t>
            </w:r>
            <w:r w:rsidR="00F54B35">
              <w:t>i</w:t>
            </w:r>
            <w:r w:rsidR="0030398E" w:rsidRPr="0030398E">
              <w:t xml:space="preserve"> novi volumeni spremnika od 360 litara a koji su već dodijeljeni korisnicima usluge, odnosno koji bi istima trebali biti dodijeljeni. Također, u istom</w:t>
            </w:r>
            <w:r w:rsidR="00F2500A">
              <w:t xml:space="preserve"> je </w:t>
            </w:r>
            <w:r w:rsidR="0030398E" w:rsidRPr="0030398E">
              <w:t xml:space="preserve"> članku dodan novi stav</w:t>
            </w:r>
            <w:r w:rsidR="00F2500A">
              <w:t>ak</w:t>
            </w:r>
            <w:r w:rsidR="0030398E" w:rsidRPr="0030398E">
              <w:t xml:space="preserve"> 6. </w:t>
            </w:r>
            <w:r w:rsidR="00F2500A">
              <w:t>a prem</w:t>
            </w:r>
            <w:r w:rsidR="0030398E" w:rsidRPr="0030398E">
              <w:t xml:space="preserve">a </w:t>
            </w:r>
            <w:r w:rsidR="00F2500A">
              <w:t>kojem</w:t>
            </w:r>
            <w:r w:rsidR="0030398E" w:rsidRPr="0030398E">
              <w:t xml:space="preserve"> se na površinama javne namjene</w:t>
            </w:r>
            <w:r w:rsidR="004F6595">
              <w:t xml:space="preserve"> omogućava smještaj podzemnih i </w:t>
            </w:r>
            <w:proofErr w:type="spellStart"/>
            <w:r w:rsidR="004F6595">
              <w:t>polupodzemnih</w:t>
            </w:r>
            <w:proofErr w:type="spellEnd"/>
            <w:r w:rsidR="004F6595">
              <w:t xml:space="preserve"> spremnika</w:t>
            </w:r>
            <w:r w:rsidR="00DE7C11">
              <w:t>,</w:t>
            </w:r>
            <w:r w:rsidR="0030398E" w:rsidRPr="0030398E">
              <w:t xml:space="preserve"> </w:t>
            </w:r>
            <w:r w:rsidR="004F6595" w:rsidRPr="004F6595">
              <w:t>u skladu sa Odlukom o komunalnom redu.</w:t>
            </w:r>
            <w:r w:rsidR="00C9452B">
              <w:t xml:space="preserve"> </w:t>
            </w:r>
            <w:r w:rsidR="0030398E" w:rsidRPr="0030398E">
              <w:t xml:space="preserve">Obzirom da su u provedbi Odluke za korisnike javne usluge iz kategorije  iz kategorije korisnika usluge koji nije kućanstvo uočene poteškoće i nepravilnosti u vezi provedbe javne usluge prikupljanja miješanog komunalnog otpada, kao i u vezi provedbe javne usluge prikupljanja biootpada i </w:t>
            </w:r>
            <w:proofErr w:type="spellStart"/>
            <w:r w:rsidR="0030398E" w:rsidRPr="0030398E">
              <w:t>reciklabilnog</w:t>
            </w:r>
            <w:proofErr w:type="spellEnd"/>
            <w:r w:rsidR="0030398E" w:rsidRPr="0030398E">
              <w:t xml:space="preserve"> komunalnog otpada, članak 8. Odluke je dopunjen novim stavcima kojima se propisuje obveza korisnicima usluge iz kategorije korisnika koji nije kućanstvom da sa davateljem usluge regulira prikupljanje miješanog komunalnog otpada sukladno </w:t>
            </w:r>
            <w:r w:rsidR="0030398E" w:rsidRPr="00C9452B">
              <w:t>uvjetima</w:t>
            </w:r>
            <w:r w:rsidR="0030398E" w:rsidRPr="0030398E">
              <w:t xml:space="preserve"> koje će propisati davatelj usluge, te se propisuje obveza navedenim korisnicima javne usluge </w:t>
            </w:r>
            <w:r w:rsidR="00225703">
              <w:t xml:space="preserve">te </w:t>
            </w:r>
            <w:r w:rsidR="0030398E" w:rsidRPr="0030398E">
              <w:t xml:space="preserve">da dostave dokaze o ugovorenoj usluzi </w:t>
            </w:r>
            <w:r w:rsidR="0030398E" w:rsidRPr="0030398E">
              <w:lastRenderedPageBreak/>
              <w:t xml:space="preserve">prikupljanja biootpada i </w:t>
            </w:r>
            <w:proofErr w:type="spellStart"/>
            <w:r w:rsidR="0030398E" w:rsidRPr="0030398E">
              <w:t>reciklabilnog</w:t>
            </w:r>
            <w:proofErr w:type="spellEnd"/>
            <w:r w:rsidR="0030398E" w:rsidRPr="0030398E">
              <w:t xml:space="preserve"> komunalnog otpada </w:t>
            </w:r>
            <w:r w:rsidR="00A11CBF">
              <w:t xml:space="preserve">te </w:t>
            </w:r>
            <w:r w:rsidR="0030398E" w:rsidRPr="0030398E">
              <w:t xml:space="preserve">su propisane i ugovorne kazne za </w:t>
            </w:r>
            <w:r w:rsidR="00A11CBF" w:rsidRPr="0030398E">
              <w:t>ne postupanje</w:t>
            </w:r>
            <w:r w:rsidR="0030398E" w:rsidRPr="0030398E">
              <w:t xml:space="preserve"> po navedenim odredbama. Također su predloženom Odlukom izvršene izmjene u člancima 16. i 23. što se tiče izražavanj</w:t>
            </w:r>
            <w:r w:rsidR="00F2500A">
              <w:t>a</w:t>
            </w:r>
            <w:r w:rsidR="0030398E" w:rsidRPr="0030398E">
              <w:t xml:space="preserve"> cijene obvezne minimalne javne usluge i visine ugovorne kazne u eurima sukladno zakonom propisanom fiksnom tečaju konverzije. Sukladno izmjenama u članku 7. Odluke kojima su navedeni novi volumeni spremnika od 360 litara, bilo je potrebno u istom smislu izmijeniti i stavke 4. i 5. Općih uvjeta ugovora s korisnicima usluga. Konačno, s obzirom na propisane obveze korisnika javne</w:t>
            </w:r>
            <w:r w:rsidR="00C9452B">
              <w:t xml:space="preserve"> usluge</w:t>
            </w:r>
            <w:r w:rsidR="0030398E" w:rsidRPr="0030398E">
              <w:t xml:space="preserve"> iz kategorije korisnika koji nije kućanstvo o obvezi reguliranja prikupljanja miješanog komunalnog otpada sa davateljem usluge, odnosno o obvezi dostavljanja dokaza o ugovorenoj usluzi prikupljanja biootpada i </w:t>
            </w:r>
            <w:proofErr w:type="spellStart"/>
            <w:r w:rsidR="0030398E" w:rsidRPr="0030398E">
              <w:t>reciklabilnog</w:t>
            </w:r>
            <w:proofErr w:type="spellEnd"/>
            <w:r w:rsidR="0030398E" w:rsidRPr="0030398E">
              <w:t xml:space="preserve"> komunalnog otpada, bilo je potrebno u prijelaznim i završnim odredbama propisati rokove u kojima su korisnici javne usluge iz kategorije koji nije kućanstvo dužni regulirati s davateljem usluge</w:t>
            </w:r>
            <w:r w:rsidR="00C9452B">
              <w:t xml:space="preserve"> javnu</w:t>
            </w:r>
            <w:r w:rsidR="0030398E" w:rsidRPr="0030398E">
              <w:t xml:space="preserve"> uslugu prikupljanja miješanog komunalnog otpada, odnosno uslugu prikupljanja biootpada i </w:t>
            </w:r>
            <w:proofErr w:type="spellStart"/>
            <w:r w:rsidR="0030398E" w:rsidRPr="0030398E">
              <w:t>reciklabilnog</w:t>
            </w:r>
            <w:proofErr w:type="spellEnd"/>
            <w:r w:rsidR="0030398E" w:rsidRPr="0030398E">
              <w:t xml:space="preserve"> komunalnog otpada, te rok za dostavu dokaza o ugovorenoj usluzi prikupljanja </w:t>
            </w:r>
            <w:proofErr w:type="spellStart"/>
            <w:r w:rsidR="0030398E" w:rsidRPr="0030398E">
              <w:t>biotpada</w:t>
            </w:r>
            <w:proofErr w:type="spellEnd"/>
            <w:r w:rsidR="0030398E" w:rsidRPr="0030398E">
              <w:t xml:space="preserve"> i </w:t>
            </w:r>
            <w:proofErr w:type="spellStart"/>
            <w:r w:rsidR="0030398E" w:rsidRPr="0030398E">
              <w:t>reciklabilnog</w:t>
            </w:r>
            <w:proofErr w:type="spellEnd"/>
            <w:r w:rsidR="0030398E" w:rsidRPr="0030398E">
              <w:t xml:space="preserve"> komunalnog otpada ukoliko je ta usluga već ugovorena sa ovlaštenim sakupljačem.</w:t>
            </w:r>
            <w:r w:rsidR="00163BE2">
              <w:t xml:space="preserve"> </w:t>
            </w:r>
          </w:p>
          <w:p w14:paraId="1E614E07" w14:textId="77777777" w:rsidR="003E6360" w:rsidRPr="00397644" w:rsidRDefault="003E6360" w:rsidP="0030398E">
            <w:pPr>
              <w:spacing w:after="120" w:line="40" w:lineRule="atLeast"/>
              <w:jc w:val="both"/>
              <w:rPr>
                <w:color w:val="000000" w:themeColor="text1"/>
              </w:rPr>
            </w:pPr>
          </w:p>
        </w:tc>
      </w:tr>
      <w:tr w:rsidR="003E6360" w:rsidRPr="002D6EC9" w14:paraId="72BDFD71" w14:textId="77777777" w:rsidTr="00E62ED3">
        <w:trPr>
          <w:trHeight w:val="756"/>
        </w:trPr>
        <w:tc>
          <w:tcPr>
            <w:tcW w:w="10320" w:type="dxa"/>
            <w:gridSpan w:val="2"/>
            <w:tcBorders>
              <w:left w:val="thickThinSmallGap" w:sz="24" w:space="0" w:color="auto"/>
              <w:bottom w:val="thickThinSmallGap" w:sz="24" w:space="0" w:color="auto"/>
              <w:right w:val="thickThinSmallGap" w:sz="24" w:space="0" w:color="auto"/>
            </w:tcBorders>
            <w:shd w:val="clear" w:color="auto" w:fill="auto"/>
            <w:vAlign w:val="center"/>
          </w:tcPr>
          <w:p w14:paraId="61179AFB" w14:textId="77777777" w:rsidR="003E6360" w:rsidRDefault="003E6360" w:rsidP="00E62ED3">
            <w:pPr>
              <w:jc w:val="center"/>
              <w:rPr>
                <w:b/>
              </w:rPr>
            </w:pPr>
            <w:r w:rsidRPr="00D22C35">
              <w:rPr>
                <w:b/>
              </w:rPr>
              <w:lastRenderedPageBreak/>
              <w:t>Razdoblje internetskog savjetovanja</w:t>
            </w:r>
          </w:p>
          <w:p w14:paraId="61A17768" w14:textId="5EEB37DE" w:rsidR="00DB1E84" w:rsidRPr="002C5C06" w:rsidRDefault="003E6360" w:rsidP="00E62ED3">
            <w:pPr>
              <w:jc w:val="center"/>
              <w:rPr>
                <w:b/>
              </w:rPr>
            </w:pPr>
            <w:r w:rsidRPr="002C5C06">
              <w:rPr>
                <w:b/>
              </w:rPr>
              <w:t xml:space="preserve">od </w:t>
            </w:r>
            <w:r w:rsidR="0030398E">
              <w:rPr>
                <w:b/>
              </w:rPr>
              <w:t>1</w:t>
            </w:r>
            <w:r w:rsidR="00F2500A">
              <w:rPr>
                <w:b/>
              </w:rPr>
              <w:t>1</w:t>
            </w:r>
            <w:r w:rsidR="008123C4" w:rsidRPr="002C5C06">
              <w:rPr>
                <w:b/>
              </w:rPr>
              <w:t>.</w:t>
            </w:r>
            <w:r w:rsidR="0058214D">
              <w:rPr>
                <w:b/>
              </w:rPr>
              <w:t xml:space="preserve"> listopada</w:t>
            </w:r>
            <w:r w:rsidR="00B15BA8">
              <w:rPr>
                <w:b/>
              </w:rPr>
              <w:t xml:space="preserve"> 202</w:t>
            </w:r>
            <w:r w:rsidR="0030398E">
              <w:rPr>
                <w:b/>
              </w:rPr>
              <w:t>4</w:t>
            </w:r>
            <w:r w:rsidR="00B53F98" w:rsidRPr="002C5C06">
              <w:rPr>
                <w:b/>
              </w:rPr>
              <w:t>.</w:t>
            </w:r>
            <w:r w:rsidRPr="002C5C06">
              <w:rPr>
                <w:b/>
              </w:rPr>
              <w:t xml:space="preserve"> do </w:t>
            </w:r>
            <w:r w:rsidR="0058214D">
              <w:rPr>
                <w:b/>
              </w:rPr>
              <w:t>0</w:t>
            </w:r>
            <w:r w:rsidR="00F2500A">
              <w:rPr>
                <w:b/>
              </w:rPr>
              <w:t>9</w:t>
            </w:r>
            <w:r w:rsidR="00B15BA8">
              <w:rPr>
                <w:b/>
              </w:rPr>
              <w:t xml:space="preserve">. </w:t>
            </w:r>
            <w:r w:rsidR="0058214D">
              <w:rPr>
                <w:b/>
              </w:rPr>
              <w:t>studenog</w:t>
            </w:r>
            <w:r w:rsidR="00B53F98" w:rsidRPr="002C5C06">
              <w:rPr>
                <w:b/>
              </w:rPr>
              <w:t xml:space="preserve"> 202</w:t>
            </w:r>
            <w:r w:rsidR="0030398E">
              <w:rPr>
                <w:b/>
              </w:rPr>
              <w:t>4</w:t>
            </w:r>
            <w:r w:rsidRPr="002C5C06">
              <w:rPr>
                <w:b/>
              </w:rPr>
              <w:t>.</w:t>
            </w:r>
          </w:p>
          <w:p w14:paraId="0A6EC406" w14:textId="77777777" w:rsidR="003E6360" w:rsidRPr="002C5C06" w:rsidRDefault="003E6360" w:rsidP="00E62ED3">
            <w:pPr>
              <w:jc w:val="center"/>
              <w:rPr>
                <w:b/>
                <w:i/>
              </w:rPr>
            </w:pPr>
            <w:r w:rsidRPr="002C5C06">
              <w:rPr>
                <w:b/>
                <w:i/>
              </w:rPr>
              <w:t>(</w:t>
            </w:r>
            <w:r w:rsidRPr="002C5C06">
              <w:rPr>
                <w:b/>
                <w:i/>
                <w:u w:val="single"/>
              </w:rPr>
              <w:t>početak i završetak</w:t>
            </w:r>
            <w:r w:rsidRPr="002C5C06">
              <w:rPr>
                <w:b/>
                <w:i/>
              </w:rPr>
              <w:t>)</w:t>
            </w:r>
          </w:p>
          <w:p w14:paraId="5662DB97" w14:textId="77777777" w:rsidR="00DB1E84" w:rsidRDefault="00DB1E84" w:rsidP="00E62ED3">
            <w:pPr>
              <w:jc w:val="center"/>
              <w:rPr>
                <w:b/>
                <w:i/>
              </w:rPr>
            </w:pPr>
          </w:p>
          <w:p w14:paraId="298F1FA6" w14:textId="77777777" w:rsidR="00A5026B" w:rsidRPr="00D22C35" w:rsidRDefault="00A5026B" w:rsidP="00E62ED3">
            <w:pPr>
              <w:jc w:val="center"/>
              <w:rPr>
                <w:b/>
                <w:i/>
              </w:rPr>
            </w:pPr>
          </w:p>
        </w:tc>
      </w:tr>
      <w:tr w:rsidR="003E6360" w:rsidRPr="002D6EC9" w14:paraId="705E15F3" w14:textId="77777777" w:rsidTr="00E62ED3">
        <w:trPr>
          <w:trHeight w:val="1090"/>
        </w:trPr>
        <w:tc>
          <w:tcPr>
            <w:tcW w:w="5135" w:type="dxa"/>
            <w:tcBorders>
              <w:top w:val="thickThinSmallGap" w:sz="24" w:space="0" w:color="auto"/>
              <w:left w:val="thickThinSmallGap" w:sz="24" w:space="0" w:color="auto"/>
            </w:tcBorders>
            <w:vAlign w:val="center"/>
          </w:tcPr>
          <w:p w14:paraId="7DB0C598" w14:textId="77777777" w:rsidR="003E6360" w:rsidRPr="002D6EC9" w:rsidRDefault="003E6360" w:rsidP="00E62ED3">
            <w:r>
              <w:t>Ime i prezime osobe odnosno n</w:t>
            </w:r>
            <w:r w:rsidRPr="002D6EC9">
              <w:t>aziv predstavn</w:t>
            </w:r>
            <w:r>
              <w:t xml:space="preserve">ika </w:t>
            </w:r>
            <w:r w:rsidRPr="000F1899">
              <w:t>zainteresirane</w:t>
            </w:r>
            <w:r>
              <w:t xml:space="preserve"> javnosti koja</w:t>
            </w:r>
            <w:r w:rsidRPr="002D6EC9">
              <w:t xml:space="preserve"> daje svoje primjedbe i prijedloge na predloženi nacrt</w:t>
            </w:r>
          </w:p>
        </w:tc>
        <w:tc>
          <w:tcPr>
            <w:tcW w:w="5185" w:type="dxa"/>
            <w:tcBorders>
              <w:top w:val="thickThinSmallGap" w:sz="24" w:space="0" w:color="auto"/>
              <w:right w:val="thickThinSmallGap" w:sz="24" w:space="0" w:color="auto"/>
            </w:tcBorders>
            <w:vAlign w:val="center"/>
          </w:tcPr>
          <w:p w14:paraId="019947A4" w14:textId="77777777" w:rsidR="003E6360" w:rsidRPr="002D6EC9" w:rsidRDefault="003E6360" w:rsidP="00E62ED3"/>
        </w:tc>
      </w:tr>
      <w:tr w:rsidR="003E6360" w:rsidRPr="002D6EC9" w14:paraId="3CE37C80" w14:textId="77777777" w:rsidTr="00E62ED3">
        <w:trPr>
          <w:trHeight w:val="689"/>
        </w:trPr>
        <w:tc>
          <w:tcPr>
            <w:tcW w:w="5135" w:type="dxa"/>
            <w:tcBorders>
              <w:left w:val="thickThinSmallGap" w:sz="24" w:space="0" w:color="auto"/>
            </w:tcBorders>
            <w:vAlign w:val="center"/>
          </w:tcPr>
          <w:p w14:paraId="647CEE08" w14:textId="77777777" w:rsidR="003E6360" w:rsidRPr="002D6EC9" w:rsidRDefault="003E6360" w:rsidP="00E62ED3">
            <w:r w:rsidRPr="002D6EC9">
              <w:t>Interes, odnosno kategorija i brojnost korisnika koje predstavljate</w:t>
            </w:r>
          </w:p>
        </w:tc>
        <w:tc>
          <w:tcPr>
            <w:tcW w:w="5185" w:type="dxa"/>
            <w:tcBorders>
              <w:right w:val="thickThinSmallGap" w:sz="24" w:space="0" w:color="auto"/>
            </w:tcBorders>
            <w:vAlign w:val="center"/>
          </w:tcPr>
          <w:p w14:paraId="27C49DB9" w14:textId="77777777" w:rsidR="003E6360" w:rsidRPr="002D6EC9" w:rsidRDefault="003E6360" w:rsidP="00E62ED3"/>
        </w:tc>
      </w:tr>
      <w:tr w:rsidR="003E6360" w:rsidRPr="002D6EC9" w14:paraId="1A489E0B" w14:textId="77777777" w:rsidTr="00E62ED3">
        <w:trPr>
          <w:trHeight w:val="544"/>
        </w:trPr>
        <w:tc>
          <w:tcPr>
            <w:tcW w:w="5135" w:type="dxa"/>
            <w:tcBorders>
              <w:left w:val="thickThinSmallGap" w:sz="24" w:space="0" w:color="auto"/>
            </w:tcBorders>
            <w:vAlign w:val="center"/>
          </w:tcPr>
          <w:p w14:paraId="7E2C2079" w14:textId="77777777" w:rsidR="003E6360" w:rsidRPr="002D6EC9" w:rsidRDefault="003E6360" w:rsidP="00E62ED3">
            <w:r w:rsidRPr="002D6EC9">
              <w:t>Načelne primjedbe</w:t>
            </w:r>
            <w:r>
              <w:t xml:space="preserve"> i prijedlozi na predloženi nacrt akta s obrazloženjem</w:t>
            </w:r>
          </w:p>
        </w:tc>
        <w:tc>
          <w:tcPr>
            <w:tcW w:w="5185" w:type="dxa"/>
            <w:tcBorders>
              <w:right w:val="thickThinSmallGap" w:sz="24" w:space="0" w:color="auto"/>
            </w:tcBorders>
            <w:vAlign w:val="center"/>
          </w:tcPr>
          <w:p w14:paraId="7DE6CA53" w14:textId="77777777" w:rsidR="003E6360" w:rsidRDefault="003E6360" w:rsidP="00E62ED3"/>
          <w:p w14:paraId="19ECC279" w14:textId="77777777" w:rsidR="003E6360" w:rsidRDefault="003E6360" w:rsidP="00E62ED3"/>
          <w:p w14:paraId="2AED5A39" w14:textId="77777777" w:rsidR="003E6360" w:rsidRDefault="003E6360" w:rsidP="00E62ED3"/>
          <w:p w14:paraId="6EAB145F" w14:textId="77777777" w:rsidR="003E6360" w:rsidRDefault="003E6360" w:rsidP="00E62ED3"/>
          <w:p w14:paraId="34396E48" w14:textId="77777777" w:rsidR="003E6360" w:rsidRPr="002D6EC9" w:rsidRDefault="003E6360" w:rsidP="00E62ED3"/>
        </w:tc>
      </w:tr>
      <w:tr w:rsidR="003E6360" w:rsidRPr="002D6EC9" w14:paraId="21D450EB" w14:textId="77777777" w:rsidTr="00E62ED3">
        <w:trPr>
          <w:trHeight w:val="1782"/>
        </w:trPr>
        <w:tc>
          <w:tcPr>
            <w:tcW w:w="5135" w:type="dxa"/>
            <w:tcBorders>
              <w:left w:val="thickThinSmallGap" w:sz="24" w:space="0" w:color="auto"/>
            </w:tcBorders>
            <w:vAlign w:val="center"/>
          </w:tcPr>
          <w:p w14:paraId="6EE3D653" w14:textId="77777777" w:rsidR="003E6360" w:rsidRPr="002D6EC9" w:rsidRDefault="003E6360" w:rsidP="00E62ED3">
            <w:r w:rsidRPr="002D6EC9">
              <w:lastRenderedPageBreak/>
              <w:t xml:space="preserve">Primjedbe </w:t>
            </w:r>
            <w:r>
              <w:t>i prijedlozi na pojedine članke nacrta prijedloga akta</w:t>
            </w:r>
            <w:r w:rsidRPr="002D6EC9">
              <w:t xml:space="preserve"> s obrazloženjem</w:t>
            </w:r>
          </w:p>
          <w:p w14:paraId="35A20F2F" w14:textId="77777777" w:rsidR="003E6360" w:rsidRPr="002D6EC9" w:rsidRDefault="003E6360" w:rsidP="00E62ED3"/>
          <w:p w14:paraId="252D609B" w14:textId="77777777" w:rsidR="003E6360" w:rsidRPr="002E7BAF" w:rsidRDefault="003E6360" w:rsidP="00E62ED3">
            <w:pPr>
              <w:rPr>
                <w:i/>
              </w:rPr>
            </w:pPr>
          </w:p>
        </w:tc>
        <w:tc>
          <w:tcPr>
            <w:tcW w:w="5185" w:type="dxa"/>
            <w:tcBorders>
              <w:right w:val="thickThinSmallGap" w:sz="24" w:space="0" w:color="auto"/>
            </w:tcBorders>
            <w:vAlign w:val="center"/>
          </w:tcPr>
          <w:p w14:paraId="58DFEEAD" w14:textId="77777777" w:rsidR="003E6360" w:rsidRPr="002D6EC9" w:rsidRDefault="003E6360" w:rsidP="00E62ED3"/>
        </w:tc>
      </w:tr>
      <w:tr w:rsidR="003E6360" w:rsidRPr="002D6EC9" w14:paraId="0E4881CA" w14:textId="77777777" w:rsidTr="00E62ED3">
        <w:trPr>
          <w:trHeight w:val="1236"/>
        </w:trPr>
        <w:tc>
          <w:tcPr>
            <w:tcW w:w="5135" w:type="dxa"/>
            <w:tcBorders>
              <w:left w:val="thickThinSmallGap" w:sz="24" w:space="0" w:color="auto"/>
            </w:tcBorders>
            <w:vAlign w:val="center"/>
          </w:tcPr>
          <w:p w14:paraId="69311AB0" w14:textId="77777777" w:rsidR="003E6360" w:rsidRPr="002D6EC9" w:rsidRDefault="003E6360" w:rsidP="00E62ED3">
            <w:r w:rsidRPr="002D6EC9">
              <w:t xml:space="preserve">Ime i prezime osobe (ili osoba) koja je sastavljala primjedbe </w:t>
            </w:r>
            <w:r>
              <w:t xml:space="preserve">i prijedloge </w:t>
            </w:r>
            <w:r w:rsidRPr="002D6EC9">
              <w:t xml:space="preserve">ili osobe </w:t>
            </w:r>
            <w:r>
              <w:t>koja</w:t>
            </w:r>
            <w:r w:rsidRPr="002D6EC9">
              <w:t xml:space="preserve"> </w:t>
            </w:r>
            <w:r>
              <w:t>predstavlja</w:t>
            </w:r>
            <w:r w:rsidRPr="002D6EC9">
              <w:t xml:space="preserve"> </w:t>
            </w:r>
            <w:r>
              <w:t>zainteresiranu javnost, e-mail ili drugi podaci za kontakt</w:t>
            </w:r>
          </w:p>
        </w:tc>
        <w:tc>
          <w:tcPr>
            <w:tcW w:w="5185" w:type="dxa"/>
            <w:tcBorders>
              <w:right w:val="thickThinSmallGap" w:sz="24" w:space="0" w:color="auto"/>
            </w:tcBorders>
            <w:vAlign w:val="center"/>
          </w:tcPr>
          <w:p w14:paraId="1BD9D18B" w14:textId="77777777" w:rsidR="003E6360" w:rsidRPr="002D6EC9" w:rsidRDefault="003E6360" w:rsidP="00E62ED3"/>
        </w:tc>
      </w:tr>
      <w:tr w:rsidR="003E6360" w:rsidRPr="002D6EC9" w14:paraId="022E9F24" w14:textId="77777777" w:rsidTr="00E62ED3">
        <w:trPr>
          <w:trHeight w:val="531"/>
        </w:trPr>
        <w:tc>
          <w:tcPr>
            <w:tcW w:w="5135" w:type="dxa"/>
            <w:tcBorders>
              <w:left w:val="thickThinSmallGap" w:sz="24" w:space="0" w:color="auto"/>
              <w:bottom w:val="thickThinSmallGap" w:sz="24" w:space="0" w:color="auto"/>
            </w:tcBorders>
            <w:vAlign w:val="center"/>
          </w:tcPr>
          <w:p w14:paraId="0EA7D004" w14:textId="77777777" w:rsidR="003E6360" w:rsidRPr="002D6EC9" w:rsidRDefault="003E6360" w:rsidP="00E62ED3">
            <w:r w:rsidRPr="002D6EC9">
              <w:t>Datum dostavljanja</w:t>
            </w:r>
          </w:p>
        </w:tc>
        <w:tc>
          <w:tcPr>
            <w:tcW w:w="5185" w:type="dxa"/>
            <w:tcBorders>
              <w:bottom w:val="thickThinSmallGap" w:sz="24" w:space="0" w:color="auto"/>
              <w:right w:val="thickThinSmallGap" w:sz="24" w:space="0" w:color="auto"/>
            </w:tcBorders>
            <w:vAlign w:val="center"/>
          </w:tcPr>
          <w:p w14:paraId="56E3F4AE" w14:textId="77777777" w:rsidR="003E6360" w:rsidRPr="002D6EC9" w:rsidRDefault="003E6360" w:rsidP="00E62ED3"/>
        </w:tc>
      </w:tr>
    </w:tbl>
    <w:p w14:paraId="519BD915" w14:textId="77777777" w:rsidR="00B53F98" w:rsidRPr="007E6F96" w:rsidRDefault="00B53F98" w:rsidP="00B53F98">
      <w:pPr>
        <w:jc w:val="center"/>
        <w:rPr>
          <w:b/>
        </w:rPr>
      </w:pPr>
      <w:r w:rsidRPr="007E6F96">
        <w:rPr>
          <w:b/>
        </w:rPr>
        <w:t>Važna napomena:</w:t>
      </w:r>
    </w:p>
    <w:p w14:paraId="62E3CC87" w14:textId="0AE29EFB" w:rsidR="00B53F98" w:rsidRPr="002C5C06" w:rsidRDefault="00B53F98" w:rsidP="00B53F98">
      <w:pPr>
        <w:jc w:val="center"/>
        <w:rPr>
          <w:b/>
        </w:rPr>
      </w:pPr>
      <w:r w:rsidRPr="00C41BC7">
        <w:rPr>
          <w:b/>
        </w:rPr>
        <w:t xml:space="preserve">Popunjeni obrazac dostaviti na adresu elektroničke pošte:  </w:t>
      </w:r>
      <w:hyperlink r:id="rId6" w:history="1">
        <w:r w:rsidRPr="00C41BC7">
          <w:rPr>
            <w:rStyle w:val="Hyperlink"/>
            <w:b/>
          </w:rPr>
          <w:t>savjetovanje-gospodarstvo@zagreb.hr</w:t>
        </w:r>
      </w:hyperlink>
      <w:r w:rsidRPr="00C41BC7">
        <w:rPr>
          <w:b/>
        </w:rPr>
        <w:t xml:space="preserve"> zaključno do </w:t>
      </w:r>
      <w:r w:rsidR="00F436CA">
        <w:rPr>
          <w:b/>
        </w:rPr>
        <w:t>0</w:t>
      </w:r>
      <w:r w:rsidR="00F2500A">
        <w:rPr>
          <w:b/>
        </w:rPr>
        <w:t>9</w:t>
      </w:r>
      <w:r w:rsidR="00B15BA8">
        <w:rPr>
          <w:b/>
        </w:rPr>
        <w:t xml:space="preserve">. </w:t>
      </w:r>
      <w:r w:rsidR="00F436CA">
        <w:rPr>
          <w:b/>
        </w:rPr>
        <w:t>studenog</w:t>
      </w:r>
      <w:r w:rsidRPr="002C5C06">
        <w:rPr>
          <w:b/>
        </w:rPr>
        <w:t xml:space="preserve"> 202</w:t>
      </w:r>
      <w:r w:rsidR="0030398E">
        <w:rPr>
          <w:b/>
        </w:rPr>
        <w:t>4</w:t>
      </w:r>
      <w:r w:rsidRPr="002C5C06">
        <w:rPr>
          <w:b/>
        </w:rPr>
        <w:t>.</w:t>
      </w:r>
    </w:p>
    <w:p w14:paraId="582A35FA" w14:textId="77777777" w:rsidR="00B53F98" w:rsidRPr="002C5C06" w:rsidRDefault="00B53F98" w:rsidP="00B53F98">
      <w:pPr>
        <w:rPr>
          <w:b/>
        </w:rPr>
      </w:pPr>
    </w:p>
    <w:p w14:paraId="666596FA" w14:textId="77777777" w:rsidR="00B53F98" w:rsidRPr="00C41BC7" w:rsidRDefault="00B53F98" w:rsidP="00B53F98">
      <w:pPr>
        <w:jc w:val="center"/>
        <w:rPr>
          <w:b/>
        </w:rPr>
      </w:pPr>
      <w:r w:rsidRPr="00C41BC7">
        <w:rPr>
          <w:b/>
        </w:rPr>
        <w:t xml:space="preserve">Po završetku savjetovanja, sve pristigle primjedbe/prijedlozi biti će javno dostupni na internetskoj stranici Grada Zagreba. </w:t>
      </w:r>
    </w:p>
    <w:p w14:paraId="625DE8E2" w14:textId="77777777" w:rsidR="00B53F98" w:rsidRPr="00C41BC7" w:rsidRDefault="00B53F98" w:rsidP="00B53F98">
      <w:pPr>
        <w:jc w:val="center"/>
        <w:rPr>
          <w:b/>
        </w:rPr>
      </w:pPr>
      <w:r w:rsidRPr="00C41BC7">
        <w:rPr>
          <w:b/>
        </w:rPr>
        <w:t>Anonimni, uvredljivi i irelevantni komentari neće se objaviti.</w:t>
      </w:r>
    </w:p>
    <w:p w14:paraId="47BC0DCD" w14:textId="77777777" w:rsidR="00B53F98" w:rsidRDefault="00B53F98" w:rsidP="00B53F98">
      <w:pPr>
        <w:jc w:val="center"/>
        <w:rPr>
          <w:sz w:val="22"/>
          <w:szCs w:val="22"/>
        </w:rPr>
      </w:pPr>
    </w:p>
    <w:p w14:paraId="146A5A4D" w14:textId="77777777" w:rsidR="003E6360" w:rsidRDefault="003E6360" w:rsidP="003E6360">
      <w:pPr>
        <w:rPr>
          <w:sz w:val="22"/>
          <w:szCs w:val="22"/>
        </w:rPr>
      </w:pPr>
    </w:p>
    <w:p w14:paraId="4F16F3DE" w14:textId="77777777" w:rsidR="00AB3D82" w:rsidRDefault="00AB3D82"/>
    <w:sectPr w:rsidR="00AB3D82" w:rsidSect="00A47BE4">
      <w:pgSz w:w="11906" w:h="16838"/>
      <w:pgMar w:top="107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63712"/>
    <w:multiLevelType w:val="hybridMultilevel"/>
    <w:tmpl w:val="C3482C0A"/>
    <w:lvl w:ilvl="0" w:tplc="F9607C1C">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13706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F0"/>
    <w:rsid w:val="0004175E"/>
    <w:rsid w:val="00042BFA"/>
    <w:rsid w:val="00064FB6"/>
    <w:rsid w:val="00080019"/>
    <w:rsid w:val="000B4195"/>
    <w:rsid w:val="000E27FA"/>
    <w:rsid w:val="000E6E2E"/>
    <w:rsid w:val="00123B0F"/>
    <w:rsid w:val="001240D4"/>
    <w:rsid w:val="001307BA"/>
    <w:rsid w:val="00130EB5"/>
    <w:rsid w:val="00140BDB"/>
    <w:rsid w:val="001479EC"/>
    <w:rsid w:val="00163BE2"/>
    <w:rsid w:val="00177CB0"/>
    <w:rsid w:val="001960F0"/>
    <w:rsid w:val="001E3FED"/>
    <w:rsid w:val="00225703"/>
    <w:rsid w:val="002412E5"/>
    <w:rsid w:val="002769DB"/>
    <w:rsid w:val="002C5C06"/>
    <w:rsid w:val="002D12B3"/>
    <w:rsid w:val="003026AF"/>
    <w:rsid w:val="0030398E"/>
    <w:rsid w:val="00325728"/>
    <w:rsid w:val="00351B8B"/>
    <w:rsid w:val="00396573"/>
    <w:rsid w:val="00397644"/>
    <w:rsid w:val="003E6360"/>
    <w:rsid w:val="0040512E"/>
    <w:rsid w:val="0042347A"/>
    <w:rsid w:val="004C5B0F"/>
    <w:rsid w:val="004F6595"/>
    <w:rsid w:val="0058214D"/>
    <w:rsid w:val="00585E64"/>
    <w:rsid w:val="005E5223"/>
    <w:rsid w:val="005F46AE"/>
    <w:rsid w:val="00707AC6"/>
    <w:rsid w:val="00727FCE"/>
    <w:rsid w:val="00794534"/>
    <w:rsid w:val="00807837"/>
    <w:rsid w:val="008123C4"/>
    <w:rsid w:val="008D56D2"/>
    <w:rsid w:val="00905111"/>
    <w:rsid w:val="00922D5F"/>
    <w:rsid w:val="009322CE"/>
    <w:rsid w:val="00937395"/>
    <w:rsid w:val="00954470"/>
    <w:rsid w:val="00984E62"/>
    <w:rsid w:val="009943B8"/>
    <w:rsid w:val="009D162B"/>
    <w:rsid w:val="009E6B16"/>
    <w:rsid w:val="009F6F4D"/>
    <w:rsid w:val="00A03D2D"/>
    <w:rsid w:val="00A11CBF"/>
    <w:rsid w:val="00A14692"/>
    <w:rsid w:val="00A36BC3"/>
    <w:rsid w:val="00A5026B"/>
    <w:rsid w:val="00A552CE"/>
    <w:rsid w:val="00A773B0"/>
    <w:rsid w:val="00AB3D82"/>
    <w:rsid w:val="00B02C1D"/>
    <w:rsid w:val="00B036B7"/>
    <w:rsid w:val="00B13D8A"/>
    <w:rsid w:val="00B15BA8"/>
    <w:rsid w:val="00B53F98"/>
    <w:rsid w:val="00B92074"/>
    <w:rsid w:val="00BB230A"/>
    <w:rsid w:val="00BB6354"/>
    <w:rsid w:val="00BD087E"/>
    <w:rsid w:val="00C12678"/>
    <w:rsid w:val="00C6302D"/>
    <w:rsid w:val="00C662D4"/>
    <w:rsid w:val="00C8394F"/>
    <w:rsid w:val="00C9452B"/>
    <w:rsid w:val="00CA4156"/>
    <w:rsid w:val="00D20102"/>
    <w:rsid w:val="00DA697C"/>
    <w:rsid w:val="00DB1E84"/>
    <w:rsid w:val="00DE6E38"/>
    <w:rsid w:val="00DE7C11"/>
    <w:rsid w:val="00E3424D"/>
    <w:rsid w:val="00E96290"/>
    <w:rsid w:val="00EB2845"/>
    <w:rsid w:val="00F1186B"/>
    <w:rsid w:val="00F23E5E"/>
    <w:rsid w:val="00F2500A"/>
    <w:rsid w:val="00F436CA"/>
    <w:rsid w:val="00F54B35"/>
    <w:rsid w:val="00F825C2"/>
    <w:rsid w:val="00FB26B3"/>
    <w:rsid w:val="00FB2DF5"/>
    <w:rsid w:val="00FD2A49"/>
    <w:rsid w:val="00FD6C18"/>
    <w:rsid w:val="00FE2A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DCB8"/>
  <w15:docId w15:val="{9E30AE26-DAB7-4DCB-80E4-69362E79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36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360"/>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FootnoteText">
    <w:name w:val="footnote text"/>
    <w:basedOn w:val="Normal"/>
    <w:link w:val="FootnoteTextChar"/>
    <w:unhideWhenUsed/>
    <w:rsid w:val="003E6360"/>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rsid w:val="003E6360"/>
    <w:rPr>
      <w:rFonts w:ascii="Calibri" w:eastAsia="Calibri" w:hAnsi="Calibri" w:cs="Times New Roman"/>
      <w:sz w:val="20"/>
      <w:szCs w:val="20"/>
    </w:rPr>
  </w:style>
  <w:style w:type="paragraph" w:styleId="ListParagraph">
    <w:name w:val="List Paragraph"/>
    <w:basedOn w:val="Normal"/>
    <w:uiPriority w:val="34"/>
    <w:qFormat/>
    <w:rsid w:val="00794534"/>
    <w:pPr>
      <w:ind w:left="720"/>
    </w:pPr>
    <w:rPr>
      <w:rFonts w:ascii="Calibri" w:eastAsiaTheme="minorHAnsi" w:hAnsi="Calibri"/>
      <w:sz w:val="22"/>
      <w:szCs w:val="22"/>
      <w:lang w:eastAsia="en-US"/>
    </w:rPr>
  </w:style>
  <w:style w:type="paragraph" w:styleId="NormalWeb">
    <w:name w:val="Normal (Web)"/>
    <w:basedOn w:val="Normal"/>
    <w:uiPriority w:val="99"/>
    <w:unhideWhenUsed/>
    <w:rsid w:val="0004175E"/>
    <w:pPr>
      <w:spacing w:before="100" w:beforeAutospacing="1" w:after="100" w:afterAutospacing="1"/>
    </w:pPr>
  </w:style>
  <w:style w:type="paragraph" w:customStyle="1" w:styleId="t-9-8">
    <w:name w:val="t-9-8"/>
    <w:basedOn w:val="Normal"/>
    <w:rsid w:val="0004175E"/>
    <w:pPr>
      <w:spacing w:before="100" w:beforeAutospacing="1" w:after="100" w:afterAutospacing="1"/>
    </w:pPr>
  </w:style>
  <w:style w:type="character" w:styleId="Hyperlink">
    <w:name w:val="Hyperlink"/>
    <w:rsid w:val="00EB2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0622">
      <w:bodyDiv w:val="1"/>
      <w:marLeft w:val="0"/>
      <w:marRight w:val="0"/>
      <w:marTop w:val="0"/>
      <w:marBottom w:val="0"/>
      <w:divBdr>
        <w:top w:val="none" w:sz="0" w:space="0" w:color="auto"/>
        <w:left w:val="none" w:sz="0" w:space="0" w:color="auto"/>
        <w:bottom w:val="none" w:sz="0" w:space="0" w:color="auto"/>
        <w:right w:val="none" w:sz="0" w:space="0" w:color="auto"/>
      </w:divBdr>
    </w:div>
    <w:div w:id="13505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vjetovanje-gospodarstvo@zagreb.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56944-3916-474F-AE95-602818F6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723</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Zagreb</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Šoufek</dc:creator>
  <cp:lastModifiedBy>Dragan Čupić</cp:lastModifiedBy>
  <cp:revision>7</cp:revision>
  <cp:lastPrinted>2017-11-08T12:54:00Z</cp:lastPrinted>
  <dcterms:created xsi:type="dcterms:W3CDTF">2024-10-10T11:29:00Z</dcterms:created>
  <dcterms:modified xsi:type="dcterms:W3CDTF">2024-10-11T14:13:00Z</dcterms:modified>
</cp:coreProperties>
</file>